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6CBF" w14:textId="6F2726EB" w:rsidR="00D30A78" w:rsidRPr="00156D0F" w:rsidRDefault="00D30A78" w:rsidP="00156D0F">
      <w:pPr>
        <w:spacing w:after="0" w:line="240" w:lineRule="auto"/>
        <w:jc w:val="center"/>
        <w:rPr>
          <w:rStyle w:val="eop"/>
          <w:rFonts w:asciiTheme="majorBidi" w:hAnsiTheme="majorBidi" w:cstheme="majorBidi"/>
          <w:color w:val="000000"/>
          <w:sz w:val="24"/>
          <w:szCs w:val="24"/>
          <w:shd w:val="clear" w:color="auto" w:fill="FFFFFF"/>
        </w:rPr>
      </w:pPr>
      <w:r w:rsidRPr="00156D0F">
        <w:rPr>
          <w:rStyle w:val="normaltextrun"/>
          <w:rFonts w:asciiTheme="majorBidi" w:hAnsiTheme="majorBidi" w:cstheme="majorBidi"/>
          <w:b/>
          <w:bCs/>
          <w:color w:val="000000"/>
          <w:sz w:val="24"/>
          <w:szCs w:val="24"/>
          <w:shd w:val="clear" w:color="auto" w:fill="FFFFFF"/>
        </w:rPr>
        <w:t> </w:t>
      </w:r>
      <w:r w:rsidR="008A718B" w:rsidRPr="00156D0F">
        <w:rPr>
          <w:rStyle w:val="normaltextrun"/>
          <w:rFonts w:asciiTheme="majorBidi" w:hAnsiTheme="majorBidi" w:cstheme="majorBidi"/>
          <w:b/>
          <w:bCs/>
          <w:color w:val="000000"/>
          <w:sz w:val="24"/>
          <w:szCs w:val="24"/>
          <w:shd w:val="clear" w:color="auto" w:fill="FFFFFF"/>
        </w:rPr>
        <w:t> </w:t>
      </w:r>
      <w:r w:rsidR="00156D0F" w:rsidRPr="00156D0F">
        <w:rPr>
          <w:rStyle w:val="normaltextrun"/>
          <w:rFonts w:asciiTheme="majorBidi" w:hAnsiTheme="majorBidi" w:cstheme="majorBidi"/>
          <w:b/>
          <w:bCs/>
          <w:color w:val="000000"/>
          <w:sz w:val="24"/>
          <w:szCs w:val="24"/>
          <w:shd w:val="clear" w:color="auto" w:fill="FFFFFF"/>
        </w:rPr>
        <w:t>Prevalence and Correlates of Trauma Exposure in Justice-Involved Adolescents</w:t>
      </w:r>
    </w:p>
    <w:p w14:paraId="58B194E4" w14:textId="2940D820" w:rsidR="008A718B" w:rsidRDefault="008A718B" w:rsidP="008A718B">
      <w:pPr>
        <w:spacing w:after="0" w:line="240" w:lineRule="auto"/>
        <w:jc w:val="center"/>
        <w:rPr>
          <w:rFonts w:asciiTheme="majorBidi" w:hAnsiTheme="majorBidi" w:cstheme="majorBidi"/>
          <w:b/>
          <w:sz w:val="24"/>
          <w:szCs w:val="24"/>
          <w:u w:val="single"/>
        </w:rPr>
      </w:pPr>
    </w:p>
    <w:p w14:paraId="37AFFF6B" w14:textId="77777777" w:rsidR="009B296F" w:rsidRPr="00156D0F" w:rsidRDefault="009B296F" w:rsidP="008A718B">
      <w:pPr>
        <w:spacing w:after="0" w:line="240" w:lineRule="auto"/>
        <w:jc w:val="center"/>
        <w:rPr>
          <w:rFonts w:asciiTheme="majorBidi" w:hAnsiTheme="majorBidi" w:cstheme="majorBidi"/>
          <w:b/>
          <w:sz w:val="24"/>
          <w:szCs w:val="24"/>
          <w:u w:val="single"/>
        </w:rPr>
      </w:pPr>
    </w:p>
    <w:p w14:paraId="08B4AA36" w14:textId="5AF5CED8" w:rsidR="00D30A78" w:rsidRPr="00156D0F" w:rsidRDefault="006162E6" w:rsidP="00156D0F">
      <w:pPr>
        <w:spacing w:after="0" w:line="240" w:lineRule="auto"/>
        <w:rPr>
          <w:rFonts w:asciiTheme="majorBidi" w:eastAsia="Times New Roman" w:hAnsiTheme="majorBidi" w:cstheme="majorBidi"/>
          <w:b/>
          <w:bCs/>
          <w:color w:val="000000" w:themeColor="text1"/>
          <w:sz w:val="24"/>
          <w:szCs w:val="24"/>
          <w:u w:val="single"/>
        </w:rPr>
      </w:pPr>
      <w:r w:rsidRPr="00156D0F">
        <w:rPr>
          <w:rFonts w:asciiTheme="majorBidi" w:hAnsiTheme="majorBidi" w:cstheme="majorBidi"/>
          <w:b/>
          <w:sz w:val="24"/>
          <w:szCs w:val="24"/>
          <w:u w:val="single"/>
        </w:rPr>
        <w:t>Presenter</w:t>
      </w:r>
      <w:r w:rsidR="005743CD" w:rsidRPr="009B296F">
        <w:rPr>
          <w:rFonts w:asciiTheme="majorBidi" w:hAnsiTheme="majorBidi" w:cstheme="majorBidi"/>
          <w:b/>
          <w:sz w:val="24"/>
          <w:szCs w:val="24"/>
        </w:rPr>
        <w:t>:</w:t>
      </w:r>
      <w:r w:rsidR="005743CD" w:rsidRPr="00156D0F">
        <w:rPr>
          <w:rStyle w:val="normaltextrun"/>
          <w:rFonts w:asciiTheme="majorBidi" w:hAnsiTheme="majorBidi" w:cstheme="majorBidi"/>
          <w:b/>
          <w:bCs/>
          <w:color w:val="000000"/>
          <w:sz w:val="24"/>
          <w:szCs w:val="24"/>
          <w:shd w:val="clear" w:color="auto" w:fill="FFFFFF"/>
        </w:rPr>
        <w:t xml:space="preserve"> </w:t>
      </w:r>
      <w:r w:rsidR="00156D0F" w:rsidRPr="00156D0F">
        <w:rPr>
          <w:rStyle w:val="normaltextrun"/>
          <w:rFonts w:asciiTheme="majorBidi" w:hAnsiTheme="majorBidi" w:cstheme="majorBidi"/>
          <w:b/>
          <w:bCs/>
          <w:color w:val="000000"/>
          <w:sz w:val="24"/>
          <w:szCs w:val="24"/>
          <w:shd w:val="clear" w:color="auto" w:fill="FFFFFF"/>
        </w:rPr>
        <w:t>Cassidy Tennity, Emily Feldman (Psychology)</w:t>
      </w:r>
      <w:r w:rsidR="00156D0F" w:rsidRPr="00156D0F">
        <w:rPr>
          <w:rStyle w:val="eop"/>
          <w:rFonts w:asciiTheme="majorBidi" w:hAnsiTheme="majorBidi" w:cstheme="majorBidi"/>
          <w:color w:val="000000"/>
          <w:sz w:val="24"/>
          <w:szCs w:val="24"/>
          <w:shd w:val="clear" w:color="auto" w:fill="FFFFFF"/>
        </w:rPr>
        <w:t> </w:t>
      </w:r>
    </w:p>
    <w:p w14:paraId="7CE8990F" w14:textId="08B3B697" w:rsidR="00D30A78" w:rsidRPr="00156D0F" w:rsidRDefault="00BF27BD" w:rsidP="00156D0F">
      <w:pPr>
        <w:pStyle w:val="paragraph"/>
        <w:spacing w:before="0" w:beforeAutospacing="0" w:after="0" w:afterAutospacing="0"/>
        <w:textAlignment w:val="baseline"/>
        <w:rPr>
          <w:rFonts w:asciiTheme="majorBidi" w:hAnsiTheme="majorBidi" w:cstheme="majorBidi"/>
        </w:rPr>
      </w:pPr>
      <w:r w:rsidRPr="00156D0F">
        <w:rPr>
          <w:rFonts w:asciiTheme="majorBidi" w:hAnsiTheme="majorBidi" w:cstheme="majorBidi"/>
          <w:b/>
          <w:bCs/>
          <w:color w:val="000000" w:themeColor="text1"/>
          <w:u w:val="single"/>
        </w:rPr>
        <w:t>Faculty Mentor</w:t>
      </w:r>
      <w:r w:rsidRPr="00156D0F">
        <w:rPr>
          <w:rFonts w:asciiTheme="majorBidi" w:hAnsiTheme="majorBidi" w:cstheme="majorBidi"/>
          <w:b/>
          <w:bCs/>
          <w:color w:val="000000" w:themeColor="text1"/>
        </w:rPr>
        <w:t>:</w:t>
      </w:r>
      <w:r w:rsidR="008A718B" w:rsidRPr="00156D0F">
        <w:rPr>
          <w:rFonts w:asciiTheme="majorBidi" w:hAnsiTheme="majorBidi" w:cstheme="majorBidi"/>
          <w:b/>
          <w:bCs/>
          <w:color w:val="000000" w:themeColor="text1"/>
        </w:rPr>
        <w:t xml:space="preserve"> </w:t>
      </w:r>
      <w:r w:rsidR="00156D0F" w:rsidRPr="00156D0F">
        <w:rPr>
          <w:rStyle w:val="normaltextrun"/>
          <w:rFonts w:asciiTheme="majorBidi" w:hAnsiTheme="majorBidi" w:cstheme="majorBidi"/>
          <w:b/>
          <w:bCs/>
          <w:color w:val="000000"/>
          <w:shd w:val="clear" w:color="auto" w:fill="FFFFFF"/>
        </w:rPr>
        <w:t>Dr. Stevie Grassetti (Psychology)</w:t>
      </w:r>
      <w:r w:rsidR="00156D0F" w:rsidRPr="00156D0F">
        <w:rPr>
          <w:rStyle w:val="eop"/>
          <w:rFonts w:asciiTheme="majorBidi" w:hAnsiTheme="majorBidi" w:cstheme="majorBidi"/>
          <w:color w:val="000000"/>
          <w:shd w:val="clear" w:color="auto" w:fill="FFFFFF"/>
        </w:rPr>
        <w:t> </w:t>
      </w:r>
    </w:p>
    <w:p w14:paraId="0244D9AD" w14:textId="77777777" w:rsidR="00D30A78" w:rsidRPr="00156D0F" w:rsidRDefault="00D30A78" w:rsidP="00D30A78">
      <w:pPr>
        <w:pStyle w:val="paragraph"/>
        <w:spacing w:before="0" w:beforeAutospacing="0" w:after="0" w:afterAutospacing="0"/>
        <w:textAlignment w:val="baseline"/>
        <w:rPr>
          <w:rFonts w:asciiTheme="majorBidi" w:hAnsiTheme="majorBidi" w:cstheme="majorBidi"/>
        </w:rPr>
      </w:pPr>
      <w:r w:rsidRPr="00156D0F">
        <w:rPr>
          <w:rStyle w:val="normaltextrun"/>
          <w:rFonts w:asciiTheme="majorBidi" w:hAnsiTheme="majorBidi" w:cstheme="majorBidi"/>
        </w:rPr>
        <w:t> </w:t>
      </w:r>
      <w:r w:rsidRPr="00156D0F">
        <w:rPr>
          <w:rStyle w:val="eop"/>
          <w:rFonts w:asciiTheme="majorBidi" w:hAnsiTheme="majorBidi" w:cstheme="majorBidi"/>
        </w:rPr>
        <w:t> </w:t>
      </w:r>
    </w:p>
    <w:p w14:paraId="7BC009B7" w14:textId="7074A367" w:rsidR="00F845C8" w:rsidRPr="00156D0F" w:rsidRDefault="00F845C8" w:rsidP="005743CD">
      <w:pPr>
        <w:spacing w:after="0" w:line="240" w:lineRule="auto"/>
        <w:rPr>
          <w:rFonts w:asciiTheme="majorBidi" w:hAnsiTheme="majorBidi" w:cstheme="majorBidi"/>
          <w:sz w:val="24"/>
          <w:szCs w:val="24"/>
        </w:rPr>
      </w:pPr>
      <w:r w:rsidRPr="00156D0F">
        <w:rPr>
          <w:rStyle w:val="eop"/>
          <w:rFonts w:asciiTheme="majorBidi" w:hAnsiTheme="majorBidi" w:cstheme="majorBidi"/>
          <w:sz w:val="24"/>
          <w:szCs w:val="24"/>
        </w:rPr>
        <w:t> </w:t>
      </w:r>
    </w:p>
    <w:p w14:paraId="7D6BE0A6"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Background: Trauma exposure in adolescents is associated with increased rates of externalizing behaviors, substance use disorder and conduct disorder. Youth who are involved in the juvenile justice system have elevated levels of mental health difficulties and the many detained youth who have experienced trauma may be a group with particularly high needs. </w:t>
      </w:r>
      <w:r w:rsidRPr="00156D0F">
        <w:rPr>
          <w:rStyle w:val="eop"/>
          <w:rFonts w:asciiTheme="majorBidi" w:hAnsiTheme="majorBidi" w:cstheme="majorBidi"/>
        </w:rPr>
        <w:t> </w:t>
      </w:r>
    </w:p>
    <w:p w14:paraId="2E962F80"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 </w:t>
      </w:r>
      <w:r w:rsidRPr="00156D0F">
        <w:rPr>
          <w:rStyle w:val="eop"/>
          <w:rFonts w:asciiTheme="majorBidi" w:hAnsiTheme="majorBidi" w:cstheme="majorBidi"/>
        </w:rPr>
        <w:t> </w:t>
      </w:r>
    </w:p>
    <w:p w14:paraId="52A90A41"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Objective: The purpose of this study was to determine the frequency of trauma exposure and correlates of such exposure in a sample of justice-involved youth.</w:t>
      </w:r>
      <w:r w:rsidRPr="00156D0F">
        <w:rPr>
          <w:rStyle w:val="eop"/>
          <w:rFonts w:asciiTheme="majorBidi" w:hAnsiTheme="majorBidi" w:cstheme="majorBidi"/>
        </w:rPr>
        <w:t> </w:t>
      </w:r>
    </w:p>
    <w:p w14:paraId="39FB47C4"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 </w:t>
      </w:r>
      <w:r w:rsidRPr="00156D0F">
        <w:rPr>
          <w:rStyle w:val="eop"/>
          <w:rFonts w:asciiTheme="majorBidi" w:hAnsiTheme="majorBidi" w:cstheme="majorBidi"/>
        </w:rPr>
        <w:t> </w:t>
      </w:r>
    </w:p>
    <w:p w14:paraId="77FCF01C"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Methods: Staff administered the Massachusetts Youth Screening Inventory (MAYSI-2) to N=41 detained youth upon their arrival at a juvenile justice facility. In the current study, we examined associations between the trauma exposure subscale and the subscales for substance use, suicidal ideation, depression/anxiety, thought disturbance, and anger/irritability. The thought disturbance subscale has only been validated for boys.</w:t>
      </w:r>
      <w:r w:rsidRPr="00156D0F">
        <w:rPr>
          <w:rStyle w:val="eop"/>
          <w:rFonts w:asciiTheme="majorBidi" w:hAnsiTheme="majorBidi" w:cstheme="majorBidi"/>
        </w:rPr>
        <w:t> </w:t>
      </w:r>
    </w:p>
    <w:p w14:paraId="3D944E12"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 </w:t>
      </w:r>
      <w:r w:rsidRPr="00156D0F">
        <w:rPr>
          <w:rStyle w:val="eop"/>
          <w:rFonts w:asciiTheme="majorBidi" w:hAnsiTheme="majorBidi" w:cstheme="majorBidi"/>
        </w:rPr>
        <w:t> </w:t>
      </w:r>
    </w:p>
    <w:p w14:paraId="7D83D197"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Results: 59.2% of youth in the sample endorsed trauma exposure on the MAYSI-2. As hypothesized, we found significant positive correlations between trauma exposure and several MAYSI-2 subscales including substance use (r=.35, p&lt;.05), anger/irritability (r=.49, p&lt;.001), and depression/anxiety (r=.64, p&lt;.001). The thought disturbance subscale yielded a significant positive correlation with the trauma exposure subscale for boys (r=.48, p&lt;.01).</w:t>
      </w:r>
      <w:r w:rsidRPr="00156D0F">
        <w:rPr>
          <w:rStyle w:val="eop"/>
          <w:rFonts w:asciiTheme="majorBidi" w:hAnsiTheme="majorBidi" w:cstheme="majorBidi"/>
        </w:rPr>
        <w:t> </w:t>
      </w:r>
    </w:p>
    <w:p w14:paraId="450C91E1" w14:textId="77777777" w:rsidR="00156D0F"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 </w:t>
      </w:r>
      <w:r w:rsidRPr="00156D0F">
        <w:rPr>
          <w:rStyle w:val="eop"/>
          <w:rFonts w:asciiTheme="majorBidi" w:hAnsiTheme="majorBidi" w:cstheme="majorBidi"/>
        </w:rPr>
        <w:t> </w:t>
      </w:r>
    </w:p>
    <w:p w14:paraId="372A122C" w14:textId="11C94214" w:rsidR="008A718B" w:rsidRPr="00156D0F" w:rsidRDefault="00156D0F" w:rsidP="00156D0F">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Discussion: Detained youth are a group with heightened psychological needs compared to the general population. Results suggest that those youth who have been exposed to trauma may be a group with particularly high level of needs. Trauma-focused programs and policies can be implemented to mitigate not only posttraumatic stress but also substance use, anger/irritability, depression/anxiety that correlate with trauma exposure</w:t>
      </w:r>
      <w:r w:rsidR="008A718B" w:rsidRPr="00156D0F">
        <w:rPr>
          <w:rStyle w:val="normaltextrun"/>
          <w:rFonts w:asciiTheme="majorBidi" w:hAnsiTheme="majorBidi" w:cstheme="majorBidi"/>
        </w:rPr>
        <w:t>.</w:t>
      </w:r>
      <w:r w:rsidR="008A718B" w:rsidRPr="00156D0F">
        <w:rPr>
          <w:rStyle w:val="eop"/>
          <w:rFonts w:asciiTheme="majorBidi" w:hAnsiTheme="majorBidi" w:cstheme="majorBidi"/>
        </w:rPr>
        <w:t> </w:t>
      </w:r>
    </w:p>
    <w:p w14:paraId="45E3BF52" w14:textId="77777777" w:rsidR="00D30A78" w:rsidRPr="00156D0F" w:rsidRDefault="00D30A78" w:rsidP="00D30A78">
      <w:pPr>
        <w:pStyle w:val="paragraph"/>
        <w:spacing w:before="0" w:beforeAutospacing="0" w:after="0" w:afterAutospacing="0"/>
        <w:jc w:val="both"/>
        <w:textAlignment w:val="baseline"/>
        <w:rPr>
          <w:rFonts w:asciiTheme="majorBidi" w:hAnsiTheme="majorBidi" w:cstheme="majorBidi"/>
        </w:rPr>
      </w:pPr>
      <w:r w:rsidRPr="00156D0F">
        <w:rPr>
          <w:rStyle w:val="normaltextrun"/>
          <w:rFonts w:asciiTheme="majorBidi" w:hAnsiTheme="majorBidi" w:cstheme="majorBidi"/>
        </w:rPr>
        <w:t> </w:t>
      </w:r>
      <w:r w:rsidRPr="00156D0F">
        <w:rPr>
          <w:rStyle w:val="eop"/>
          <w:rFonts w:asciiTheme="majorBidi" w:hAnsiTheme="majorBidi" w:cstheme="majorBidi"/>
        </w:rPr>
        <w:t> </w:t>
      </w:r>
    </w:p>
    <w:p w14:paraId="162DEE25"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7B15C59F"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0D4B7035"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221C5615"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341F1947"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281994BB"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786B9EE6"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53BBDD02"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691A6E84"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360EA129"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6A496840"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1D314E99"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p>
    <w:p w14:paraId="07A0F3EA" w14:textId="77777777" w:rsidR="00BD379B" w:rsidRPr="00156D0F" w:rsidRDefault="00BD379B" w:rsidP="00BD379B">
      <w:pPr>
        <w:pStyle w:val="paragraph"/>
        <w:spacing w:before="0" w:beforeAutospacing="0" w:after="0" w:afterAutospacing="0"/>
        <w:textAlignment w:val="baseline"/>
        <w:rPr>
          <w:rFonts w:asciiTheme="majorBidi" w:hAnsiTheme="majorBidi" w:cstheme="majorBidi"/>
        </w:rPr>
      </w:pPr>
      <w:r w:rsidRPr="00156D0F">
        <w:rPr>
          <w:rStyle w:val="eop"/>
          <w:rFonts w:asciiTheme="majorBidi" w:hAnsiTheme="majorBidi" w:cstheme="majorBidi"/>
        </w:rPr>
        <w:t> </w:t>
      </w:r>
      <w:bookmarkStart w:id="0" w:name="_GoBack"/>
      <w:bookmarkEnd w:id="0"/>
    </w:p>
    <w:sectPr w:rsidR="00BD379B" w:rsidRPr="0015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56D0F"/>
    <w:rsid w:val="001711A4"/>
    <w:rsid w:val="003267F6"/>
    <w:rsid w:val="003968C5"/>
    <w:rsid w:val="003B5EAF"/>
    <w:rsid w:val="003D70F5"/>
    <w:rsid w:val="005743CD"/>
    <w:rsid w:val="00574FD0"/>
    <w:rsid w:val="005B3F37"/>
    <w:rsid w:val="006162E6"/>
    <w:rsid w:val="00647A21"/>
    <w:rsid w:val="007F343C"/>
    <w:rsid w:val="00827954"/>
    <w:rsid w:val="008870A2"/>
    <w:rsid w:val="008A718B"/>
    <w:rsid w:val="009179F4"/>
    <w:rsid w:val="009B296F"/>
    <w:rsid w:val="00BA10BD"/>
    <w:rsid w:val="00BD379B"/>
    <w:rsid w:val="00BF27BD"/>
    <w:rsid w:val="00D30A78"/>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A965DE4F-5C66-4DE5-9F0F-2FB5867E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8ba01db9-89e8-4dbd-b09b-f1bb22782f3e"/>
    <ds:schemaRef ds:uri="http://schemas.microsoft.com/office/infopath/2007/PartnerControls"/>
    <ds:schemaRef ds:uri="cd8c369e-ddd6-4fee-8136-828943a0a193"/>
    <ds:schemaRef ds:uri="http://purl.org/dc/dcmityp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2020-04-20T19:21:00Z</dcterms:created>
  <dcterms:modified xsi:type="dcterms:W3CDTF">2020-04-20T19:21:00Z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