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DEF" w:rsidRDefault="00203EDE" w:rsidP="00203EDE">
      <w:pPr>
        <w:jc w:val="center"/>
      </w:pPr>
      <w:bookmarkStart w:id="0" w:name="_GoBack"/>
      <w:r>
        <w:t>Honorary Faculty</w:t>
      </w:r>
    </w:p>
    <w:p w:rsidR="00203EDE" w:rsidRDefault="00203EDE" w:rsidP="00203EDE">
      <w:pPr>
        <w:jc w:val="center"/>
      </w:pPr>
    </w:p>
    <w:p w:rsidR="00203EDE" w:rsidRDefault="00203EDE" w:rsidP="00203EDE">
      <w:r>
        <w:t xml:space="preserve">This designation is </w:t>
      </w:r>
      <w:r w:rsidR="002E01E9">
        <w:t>strictly</w:t>
      </w:r>
      <w:r>
        <w:t xml:space="preserve"> an honorary appointment given to distinguished </w:t>
      </w:r>
      <w:r w:rsidR="002E01E9">
        <w:t>individuals</w:t>
      </w:r>
      <w:r>
        <w:t xml:space="preserve"> who provide service to the students, faculty, or the University.  Honorary Faculty are not employed by the University nor do they engage in bargaining unit work.  Honorary Faculty will not be considered for tenure.  This designation would be appropriate for any individual whose services are contributed to the University over a period of time.</w:t>
      </w:r>
    </w:p>
    <w:p w:rsidR="00203EDE" w:rsidRDefault="00203EDE" w:rsidP="00203EDE">
      <w:r>
        <w:t>Categories of Honorary Faculty include:</w:t>
      </w:r>
    </w:p>
    <w:p w:rsidR="00203EDE" w:rsidRDefault="00203EDE" w:rsidP="00203EDE">
      <w:pPr>
        <w:pStyle w:val="ListParagraph"/>
        <w:numPr>
          <w:ilvl w:val="0"/>
          <w:numId w:val="2"/>
        </w:numPr>
      </w:pPr>
      <w:r>
        <w:t>Executive, politician, scientist, merchant, etc. in residence – a person who has an ongoing relationship with a department, college or the institution to perform a series of needed activities.</w:t>
      </w:r>
    </w:p>
    <w:p w:rsidR="00203EDE" w:rsidRDefault="00203EDE" w:rsidP="00203EDE">
      <w:pPr>
        <w:pStyle w:val="ListParagraph"/>
        <w:numPr>
          <w:ilvl w:val="0"/>
          <w:numId w:val="2"/>
        </w:numPr>
      </w:pPr>
      <w:r>
        <w:t>Clinical or research adjunct faculty – a person whose appointment is necessary in order to fulfill the requirements of a particular external grant or contract.</w:t>
      </w:r>
    </w:p>
    <w:p w:rsidR="00203EDE" w:rsidRDefault="00203EDE" w:rsidP="00203EDE">
      <w:pPr>
        <w:pStyle w:val="ListParagraph"/>
        <w:numPr>
          <w:ilvl w:val="0"/>
          <w:numId w:val="2"/>
        </w:numPr>
      </w:pPr>
      <w:r>
        <w:t>Volunteer – a person who guest lectures or provides some other service on a sporadic basis.</w:t>
      </w:r>
    </w:p>
    <w:p w:rsidR="00203EDE" w:rsidRDefault="00203EDE" w:rsidP="00203EDE">
      <w:r>
        <w:t xml:space="preserve">To appoint a person to one of these categories, the </w:t>
      </w:r>
      <w:r w:rsidR="002E01E9">
        <w:t>D</w:t>
      </w:r>
      <w:r>
        <w:t xml:space="preserve">epartment </w:t>
      </w:r>
      <w:r w:rsidR="002E01E9">
        <w:t>C</w:t>
      </w:r>
      <w:r>
        <w:t xml:space="preserve">hair (in the case of the department), the </w:t>
      </w:r>
      <w:r w:rsidR="002E01E9">
        <w:t>D</w:t>
      </w:r>
      <w:r>
        <w:t xml:space="preserve">ean (in the case of a college), or the </w:t>
      </w:r>
      <w:r w:rsidR="002E01E9">
        <w:t>P</w:t>
      </w:r>
      <w:r>
        <w:t>rovost (in the case of the university) would recommend through his/her respective manager to the President for approval.  Appointed individuals will be allowed full library privileges, computer access as necessary and appropriate, and eligibility for faculty parking privileges for which a charge is made.</w:t>
      </w:r>
    </w:p>
    <w:p w:rsidR="00203EDE" w:rsidRDefault="00203EDE" w:rsidP="00203EDE">
      <w:r>
        <w:t>These individuals will be listed in the University Catalog under the appropriate heading and will include their departmental, college or institutional affiliation.</w:t>
      </w:r>
      <w:bookmarkEnd w:id="0"/>
    </w:p>
    <w:sectPr w:rsidR="00203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098"/>
    <w:multiLevelType w:val="hybridMultilevel"/>
    <w:tmpl w:val="6C9054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8447055"/>
    <w:multiLevelType w:val="hybridMultilevel"/>
    <w:tmpl w:val="80549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EDE"/>
    <w:rsid w:val="001A7EED"/>
    <w:rsid w:val="00203EDE"/>
    <w:rsid w:val="002E01E9"/>
    <w:rsid w:val="004A054B"/>
    <w:rsid w:val="009A63E4"/>
    <w:rsid w:val="00E53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4623B7-12F0-44E6-A4D0-72051060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E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5A6D3-0CFB-413E-A21B-BCE628E3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 Chester University of Pennsylvania</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Loeper, Jennifer K.</cp:lastModifiedBy>
  <cp:revision>3</cp:revision>
  <dcterms:created xsi:type="dcterms:W3CDTF">2015-11-13T16:46:00Z</dcterms:created>
  <dcterms:modified xsi:type="dcterms:W3CDTF">2015-11-13T16:47:00Z</dcterms:modified>
</cp:coreProperties>
</file>